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F40" w:rsidRDefault="00821F40">
      <w:pPr>
        <w:pStyle w:val="ConsPlusTitle"/>
        <w:jc w:val="center"/>
        <w:outlineLvl w:val="0"/>
      </w:pPr>
      <w:bookmarkStart w:id="0" w:name="_GoBack"/>
      <w:bookmarkEnd w:id="0"/>
      <w:r>
        <w:t>КАБИНЕТ МИНИСТРОВ РЕСПУБЛИКИ ТАТАРСТАН</w:t>
      </w:r>
    </w:p>
    <w:p w:rsidR="00821F40" w:rsidRDefault="00821F40">
      <w:pPr>
        <w:pStyle w:val="ConsPlusTitle"/>
        <w:jc w:val="center"/>
      </w:pPr>
    </w:p>
    <w:p w:rsidR="00821F40" w:rsidRDefault="00821F40">
      <w:pPr>
        <w:pStyle w:val="ConsPlusTitle"/>
        <w:jc w:val="center"/>
      </w:pPr>
      <w:r>
        <w:t>ПОСТАНОВЛЕНИЕ</w:t>
      </w:r>
    </w:p>
    <w:p w:rsidR="00821F40" w:rsidRDefault="00821F40">
      <w:pPr>
        <w:pStyle w:val="ConsPlusTitle"/>
        <w:jc w:val="center"/>
      </w:pPr>
      <w:r>
        <w:t>от 30 марта 2015 г. N 195</w:t>
      </w:r>
    </w:p>
    <w:p w:rsidR="00821F40" w:rsidRDefault="00821F40">
      <w:pPr>
        <w:pStyle w:val="ConsPlusTitle"/>
        <w:jc w:val="center"/>
      </w:pPr>
    </w:p>
    <w:p w:rsidR="00821F40" w:rsidRDefault="00821F40">
      <w:pPr>
        <w:pStyle w:val="ConsPlusTitle"/>
        <w:jc w:val="center"/>
      </w:pPr>
      <w:r>
        <w:t>ОБ УТВЕРЖДЕНИИ ПОРЯДКА ОСУЩЕСТВЛЕНИЯ КОНТРОЛЯ</w:t>
      </w:r>
    </w:p>
    <w:p w:rsidR="00821F40" w:rsidRDefault="00821F40">
      <w:pPr>
        <w:pStyle w:val="ConsPlusTitle"/>
        <w:jc w:val="center"/>
      </w:pPr>
      <w:r>
        <w:t xml:space="preserve">ЗА СООТВЕТСТВИЕМ ДЕЯТЕЛЬНОСТИ </w:t>
      </w:r>
      <w:proofErr w:type="gramStart"/>
      <w:r>
        <w:t>РЕГИОНАЛЬНОГО</w:t>
      </w:r>
      <w:proofErr w:type="gramEnd"/>
    </w:p>
    <w:p w:rsidR="00821F40" w:rsidRDefault="00821F40">
      <w:pPr>
        <w:pStyle w:val="ConsPlusTitle"/>
        <w:jc w:val="center"/>
      </w:pPr>
      <w:r>
        <w:t>ОПЕРАТОРА УСТАНОВЛЕННЫМ ТРЕБОВАНИЯМ</w:t>
      </w:r>
    </w:p>
    <w:p w:rsidR="00821F40" w:rsidRDefault="00821F40">
      <w:pPr>
        <w:pStyle w:val="ConsPlusNormal"/>
        <w:jc w:val="both"/>
      </w:pPr>
    </w:p>
    <w:p w:rsidR="00821F40" w:rsidRDefault="00821F40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частью 1 статьи 186</w:t>
        </w:r>
      </w:hyperlink>
      <w:r>
        <w:t xml:space="preserve"> Жилищного кодекса Российской Федерации,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hyperlink r:id="rId7" w:history="1">
        <w:r>
          <w:rPr>
            <w:color w:val="0000FF"/>
          </w:rPr>
          <w:t>частью 1 статьи 7</w:t>
        </w:r>
      </w:hyperlink>
      <w:r>
        <w:t xml:space="preserve"> Закона Республики Татарстан от 25 июня 2013 года N 52-ЗРТ "Об организации проведения капитального ремонта общего имущества в многоквартирных домах</w:t>
      </w:r>
      <w:proofErr w:type="gramEnd"/>
      <w:r>
        <w:t xml:space="preserve"> в Республике Татарстан" Кабинет Министров Республики Татарстан ПОСТАНОВЛЯЕТ:</w:t>
      </w:r>
    </w:p>
    <w:p w:rsidR="00821F40" w:rsidRDefault="00821F40">
      <w:pPr>
        <w:pStyle w:val="ConsPlusNormal"/>
        <w:jc w:val="both"/>
      </w:pPr>
    </w:p>
    <w:p w:rsidR="00821F40" w:rsidRDefault="00821F40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29" w:history="1">
        <w:r>
          <w:rPr>
            <w:color w:val="0000FF"/>
          </w:rPr>
          <w:t>Порядок</w:t>
        </w:r>
      </w:hyperlink>
      <w:r>
        <w:t xml:space="preserve"> осуществления контроля за соответствием деятельности регионального </w:t>
      </w:r>
      <w:proofErr w:type="gramStart"/>
      <w:r>
        <w:t>оператора</w:t>
      </w:r>
      <w:proofErr w:type="gramEnd"/>
      <w:r>
        <w:t xml:space="preserve"> установленным требованиям.</w:t>
      </w:r>
    </w:p>
    <w:p w:rsidR="00821F40" w:rsidRDefault="00821F40">
      <w:pPr>
        <w:pStyle w:val="ConsPlusNormal"/>
        <w:spacing w:before="220"/>
        <w:ind w:firstLine="540"/>
        <w:jc w:val="both"/>
      </w:pPr>
      <w:r>
        <w:t>2. Контроль за исполнением настоящего Постановления возложить на Государственную жилищную инспекцию Республики Татарстан.</w:t>
      </w:r>
    </w:p>
    <w:p w:rsidR="00821F40" w:rsidRDefault="00821F40">
      <w:pPr>
        <w:pStyle w:val="ConsPlusNormal"/>
        <w:jc w:val="both"/>
      </w:pPr>
    </w:p>
    <w:p w:rsidR="00821F40" w:rsidRDefault="00821F40">
      <w:pPr>
        <w:pStyle w:val="ConsPlusNormal"/>
        <w:jc w:val="right"/>
      </w:pPr>
      <w:proofErr w:type="spellStart"/>
      <w:r>
        <w:t>И.о</w:t>
      </w:r>
      <w:proofErr w:type="spellEnd"/>
      <w:r>
        <w:t>. Премьер-министра</w:t>
      </w:r>
    </w:p>
    <w:p w:rsidR="00821F40" w:rsidRDefault="00821F40">
      <w:pPr>
        <w:pStyle w:val="ConsPlusNormal"/>
        <w:jc w:val="right"/>
      </w:pPr>
      <w:r>
        <w:t>Республики Татарстан</w:t>
      </w:r>
    </w:p>
    <w:p w:rsidR="00821F40" w:rsidRDefault="00821F40">
      <w:pPr>
        <w:pStyle w:val="ConsPlusNormal"/>
        <w:jc w:val="right"/>
      </w:pPr>
      <w:r>
        <w:t>А.В.ПЕСОШИН</w:t>
      </w:r>
    </w:p>
    <w:p w:rsidR="00821F40" w:rsidRDefault="00821F40">
      <w:pPr>
        <w:pStyle w:val="ConsPlusNormal"/>
        <w:jc w:val="both"/>
      </w:pPr>
    </w:p>
    <w:p w:rsidR="00821F40" w:rsidRDefault="00821F40">
      <w:pPr>
        <w:pStyle w:val="ConsPlusNormal"/>
        <w:jc w:val="both"/>
      </w:pPr>
    </w:p>
    <w:p w:rsidR="00821F40" w:rsidRDefault="00821F40">
      <w:pPr>
        <w:pStyle w:val="ConsPlusNormal"/>
        <w:jc w:val="both"/>
      </w:pPr>
    </w:p>
    <w:p w:rsidR="00821F40" w:rsidRDefault="00821F40">
      <w:pPr>
        <w:pStyle w:val="ConsPlusNormal"/>
        <w:jc w:val="both"/>
      </w:pPr>
    </w:p>
    <w:p w:rsidR="00821F40" w:rsidRDefault="00821F40">
      <w:pPr>
        <w:pStyle w:val="ConsPlusNormal"/>
        <w:jc w:val="both"/>
      </w:pPr>
    </w:p>
    <w:p w:rsidR="00821F40" w:rsidRDefault="00821F40">
      <w:pPr>
        <w:pStyle w:val="ConsPlusNormal"/>
        <w:jc w:val="right"/>
        <w:outlineLvl w:val="0"/>
      </w:pPr>
      <w:r>
        <w:t>Утвержден</w:t>
      </w:r>
    </w:p>
    <w:p w:rsidR="00821F40" w:rsidRDefault="00821F40">
      <w:pPr>
        <w:pStyle w:val="ConsPlusNormal"/>
        <w:jc w:val="right"/>
      </w:pPr>
      <w:r>
        <w:t>Постановлением</w:t>
      </w:r>
    </w:p>
    <w:p w:rsidR="00821F40" w:rsidRDefault="00821F40">
      <w:pPr>
        <w:pStyle w:val="ConsPlusNormal"/>
        <w:jc w:val="right"/>
      </w:pPr>
      <w:r>
        <w:t>Кабинета Министров</w:t>
      </w:r>
    </w:p>
    <w:p w:rsidR="00821F40" w:rsidRDefault="00821F40">
      <w:pPr>
        <w:pStyle w:val="ConsPlusNormal"/>
        <w:jc w:val="right"/>
      </w:pPr>
      <w:r>
        <w:t>Республики Татарстан</w:t>
      </w:r>
    </w:p>
    <w:p w:rsidR="00821F40" w:rsidRDefault="00821F40">
      <w:pPr>
        <w:pStyle w:val="ConsPlusNormal"/>
        <w:jc w:val="right"/>
      </w:pPr>
      <w:r>
        <w:t>от 30 марта 2015 г. N 195</w:t>
      </w:r>
    </w:p>
    <w:p w:rsidR="00821F40" w:rsidRDefault="00821F40">
      <w:pPr>
        <w:pStyle w:val="ConsPlusNormal"/>
        <w:jc w:val="both"/>
      </w:pPr>
    </w:p>
    <w:p w:rsidR="00821F40" w:rsidRDefault="00821F40">
      <w:pPr>
        <w:pStyle w:val="ConsPlusTitle"/>
        <w:jc w:val="center"/>
      </w:pPr>
      <w:bookmarkStart w:id="1" w:name="P29"/>
      <w:bookmarkEnd w:id="1"/>
      <w:r>
        <w:t>ПОРЯДОК</w:t>
      </w:r>
    </w:p>
    <w:p w:rsidR="00821F40" w:rsidRDefault="00821F40">
      <w:pPr>
        <w:pStyle w:val="ConsPlusTitle"/>
        <w:jc w:val="center"/>
      </w:pPr>
      <w:r>
        <w:t xml:space="preserve">ОСУЩЕСТВЛЕНИЯ </w:t>
      </w:r>
      <w:proofErr w:type="gramStart"/>
      <w:r>
        <w:t>КОНТРОЛЯ ЗА</w:t>
      </w:r>
      <w:proofErr w:type="gramEnd"/>
      <w:r>
        <w:t xml:space="preserve"> СООТВЕТСТВИЕМ ДЕЯТЕЛЬНОСТИ</w:t>
      </w:r>
    </w:p>
    <w:p w:rsidR="00821F40" w:rsidRDefault="00821F40">
      <w:pPr>
        <w:pStyle w:val="ConsPlusTitle"/>
        <w:jc w:val="center"/>
      </w:pPr>
      <w:r>
        <w:t>РЕГИОНАЛЬНОГО ОПЕРАТОРА УСТАНОВЛЕННЫМ ТРЕБОВАНИЯМ</w:t>
      </w:r>
    </w:p>
    <w:p w:rsidR="00821F40" w:rsidRDefault="00821F40">
      <w:pPr>
        <w:pStyle w:val="ConsPlusNormal"/>
        <w:jc w:val="both"/>
      </w:pPr>
    </w:p>
    <w:p w:rsidR="00821F40" w:rsidRDefault="00821F4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разработан в соответствии с Жилищным </w:t>
      </w:r>
      <w:hyperlink r:id="rId8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hyperlink r:id="rId10" w:history="1">
        <w:r>
          <w:rPr>
            <w:color w:val="0000FF"/>
          </w:rPr>
          <w:t>Законом</w:t>
        </w:r>
      </w:hyperlink>
      <w:r>
        <w:t xml:space="preserve"> Республики Татарстан от 25 июня 2013 года N 52-ЗРТ "Об организации проведения капитального ремонта общего имущества в многоквартирных домах в Республике Татарстан" и определяет</w:t>
      </w:r>
      <w:proofErr w:type="gramEnd"/>
      <w:r>
        <w:t xml:space="preserve"> процедуру осуществления контроля за соответствием деятельности регионального </w:t>
      </w:r>
      <w:proofErr w:type="gramStart"/>
      <w:r>
        <w:t>оператора</w:t>
      </w:r>
      <w:proofErr w:type="gramEnd"/>
      <w:r>
        <w:t xml:space="preserve"> установленным требованиям, а также за формированием фонда капитального ремонта общего имущества в многоквартирных домах.</w:t>
      </w:r>
    </w:p>
    <w:p w:rsidR="00821F40" w:rsidRDefault="00821F40">
      <w:pPr>
        <w:pStyle w:val="ConsPlusNormal"/>
        <w:spacing w:before="220"/>
        <w:ind w:firstLine="540"/>
        <w:jc w:val="both"/>
      </w:pPr>
      <w:r>
        <w:t>2. Основные термины и понятия, используемые в настоящем Порядке:</w:t>
      </w:r>
    </w:p>
    <w:p w:rsidR="00821F40" w:rsidRDefault="00821F40">
      <w:pPr>
        <w:pStyle w:val="ConsPlusNormal"/>
        <w:spacing w:before="220"/>
        <w:ind w:firstLine="540"/>
        <w:jc w:val="both"/>
      </w:pPr>
      <w:r>
        <w:t xml:space="preserve">региональный оператор - некоммерческая организация "Фонд жилищно-коммунального </w:t>
      </w:r>
      <w:r>
        <w:lastRenderedPageBreak/>
        <w:t>хозяйства Республики Татарстан";</w:t>
      </w:r>
    </w:p>
    <w:p w:rsidR="00821F40" w:rsidRDefault="00821F40">
      <w:pPr>
        <w:pStyle w:val="ConsPlusNormal"/>
        <w:spacing w:before="220"/>
        <w:ind w:firstLine="540"/>
        <w:jc w:val="both"/>
      </w:pPr>
      <w:r>
        <w:t xml:space="preserve">проверка - совокупность проводимых Государственной жилищной инспекцией Республики Татарстан (далее - Инспекция) в отношении регионального оператора мероприятий по контролю для оценки </w:t>
      </w:r>
      <w:proofErr w:type="gramStart"/>
      <w:r>
        <w:t>соответствия</w:t>
      </w:r>
      <w:proofErr w:type="gramEnd"/>
      <w:r>
        <w:t xml:space="preserve"> осуществляемой им деятельности или действий (бездействия), направленных на обеспечение проведения капитального ремонта общего имущества в многоквартирных домах, установленным законодательством требованиям;</w:t>
      </w:r>
    </w:p>
    <w:p w:rsidR="00821F40" w:rsidRDefault="00821F40">
      <w:pPr>
        <w:pStyle w:val="ConsPlusNormal"/>
        <w:spacing w:before="220"/>
        <w:ind w:firstLine="540"/>
        <w:jc w:val="both"/>
      </w:pPr>
      <w:r>
        <w:t>акт проверки - документ, который составляется должностными лицами Инспекции по результатам проверки.</w:t>
      </w:r>
    </w:p>
    <w:p w:rsidR="00821F40" w:rsidRDefault="00821F40">
      <w:pPr>
        <w:pStyle w:val="ConsPlusNormal"/>
        <w:spacing w:before="220"/>
        <w:ind w:firstLine="540"/>
        <w:jc w:val="both"/>
      </w:pPr>
      <w:r>
        <w:t xml:space="preserve">3. Контроль за соответствием деятельности регионального </w:t>
      </w:r>
      <w:proofErr w:type="gramStart"/>
      <w:r>
        <w:t>оператора</w:t>
      </w:r>
      <w:proofErr w:type="gramEnd"/>
      <w:r>
        <w:t xml:space="preserve"> установленным требованиям осуществляется Инспекцией посредством проведения проверок, получения от регионального оператора сведений, предусмотренных законодательством, включая информацию о поступлении взносов на капитальный ремонт от собственников помещений на счет (счета) регионального оператора по форме согласно </w:t>
      </w:r>
      <w:hyperlink w:anchor="P66" w:history="1">
        <w:r>
          <w:rPr>
            <w:color w:val="0000FF"/>
          </w:rPr>
          <w:t>приложению</w:t>
        </w:r>
      </w:hyperlink>
      <w:r>
        <w:t xml:space="preserve"> к настоящему Порядку, в том числе с использованием интегрированной информационно-аналитической системы формирования и мониторинга исполнения государственной программы капитального ремонта и мониторинга состояния объектов жилищного фонда, размещенной на официальном сайте Инспекции в информационно-телекоммуникационной сети "Интернет" по адресу: https://bars-monjf.tatar.ru/monjf/.</w:t>
      </w:r>
    </w:p>
    <w:p w:rsidR="00821F40" w:rsidRDefault="00821F40">
      <w:pPr>
        <w:pStyle w:val="ConsPlusNormal"/>
        <w:spacing w:before="220"/>
        <w:ind w:firstLine="540"/>
        <w:jc w:val="both"/>
      </w:pPr>
      <w:r>
        <w:t>4. Проверка проводится с любой периодичностью и без формирования ежегодного плана проведения плановых проверок. Срок проведения проверок не ограничивается. Внеплановые проверки регионального оператора проводятся без согласования с органами прокуратуры и без предварительного уведомления регионального оператора о проведении таких проверок.</w:t>
      </w:r>
    </w:p>
    <w:p w:rsidR="00821F40" w:rsidRDefault="00821F40">
      <w:pPr>
        <w:pStyle w:val="ConsPlusNormal"/>
        <w:spacing w:before="220"/>
        <w:ind w:firstLine="540"/>
        <w:jc w:val="both"/>
      </w:pPr>
      <w:r>
        <w:t>5. Проверка проводится на основании распоряжения начальника Инспекции о проведении проверки. Проверка может проводиться только должностным лицом или должностными лицами, которые указаны в распоряжении о проведении проверки.</w:t>
      </w:r>
    </w:p>
    <w:p w:rsidR="00821F40" w:rsidRDefault="00821F40">
      <w:pPr>
        <w:pStyle w:val="ConsPlusNormal"/>
        <w:spacing w:before="220"/>
        <w:ind w:firstLine="540"/>
        <w:jc w:val="both"/>
      </w:pPr>
      <w:r>
        <w:t>6. При проведении документарной проверки Инспекция направляет региональному оператору запрос о представлении в указанный срок документов, необходимых для проведения документарной проверки. Региональный оператор в срок, указанный в запросе, представляет в Инспекцию указанные в запросе документы. Документы представляются в виде копий, заверенных печатью и подписью руководителя регионального оператора.</w:t>
      </w:r>
    </w:p>
    <w:p w:rsidR="00821F40" w:rsidRDefault="00821F40">
      <w:pPr>
        <w:pStyle w:val="ConsPlusNormal"/>
        <w:spacing w:before="220"/>
        <w:ind w:firstLine="540"/>
        <w:jc w:val="both"/>
      </w:pPr>
      <w:r>
        <w:t>7. Выездные проверки проводятся в случае, если при документарной проверке не представляется возможным:</w:t>
      </w:r>
    </w:p>
    <w:p w:rsidR="00821F40" w:rsidRDefault="00821F40">
      <w:pPr>
        <w:pStyle w:val="ConsPlusNormal"/>
        <w:spacing w:before="220"/>
        <w:ind w:firstLine="540"/>
        <w:jc w:val="both"/>
      </w:pPr>
      <w:r>
        <w:t xml:space="preserve">удостовериться в полноте и достоверности сведений, содержащихся </w:t>
      </w:r>
      <w:proofErr w:type="gramStart"/>
      <w:r>
        <w:t>в</w:t>
      </w:r>
      <w:proofErr w:type="gramEnd"/>
      <w:r>
        <w:t xml:space="preserve"> имеющихся в </w:t>
      </w:r>
      <w:proofErr w:type="gramStart"/>
      <w:r>
        <w:t>распоряжении</w:t>
      </w:r>
      <w:proofErr w:type="gramEnd"/>
      <w:r>
        <w:t xml:space="preserve"> Инспекции документах регионального оператора;</w:t>
      </w:r>
    </w:p>
    <w:p w:rsidR="00821F40" w:rsidRDefault="00821F40">
      <w:pPr>
        <w:pStyle w:val="ConsPlusNormal"/>
        <w:spacing w:before="220"/>
        <w:ind w:firstLine="540"/>
        <w:jc w:val="both"/>
      </w:pPr>
      <w:r>
        <w:t>оценить соответствие деятельности регионального оператора установленным законодательством требованиям без проведения выездного мероприятия по контролю.</w:t>
      </w:r>
    </w:p>
    <w:p w:rsidR="00821F40" w:rsidRDefault="00821F40">
      <w:pPr>
        <w:pStyle w:val="ConsPlusNormal"/>
        <w:spacing w:before="220"/>
        <w:ind w:firstLine="540"/>
        <w:jc w:val="both"/>
      </w:pPr>
      <w:r>
        <w:t>8. При проведении выездной проверки региональный оператор должен оказывать необходимое организационное и техническое содействие должностным лицам, проводящим проверку, в том числе обеспечивать их необходимыми помещениями, организационной техникой, канцелярскими принадлежностями и другими средствами, необходимыми для проведения проверки.</w:t>
      </w:r>
    </w:p>
    <w:p w:rsidR="00821F40" w:rsidRDefault="00821F40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Региональный оператор, руководитель регионального оператора, иные должностные лица или уполномоченные представители регионального оператора, допустившие нарушение Федерального </w:t>
      </w:r>
      <w:hyperlink r:id="rId11" w:history="1">
        <w:r>
          <w:rPr>
            <w:color w:val="0000FF"/>
          </w:rPr>
          <w:t>закона</w:t>
        </w:r>
      </w:hyperlink>
      <w: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</w:t>
      </w:r>
      <w:r>
        <w:lastRenderedPageBreak/>
        <w:t>муниципального контроля", необоснованно препятствующие проведению проверок, уклоняющиеся от проведения проверок и (или) не исполняющие в установленный срок предписания должностных лиц Инспекции об</w:t>
      </w:r>
      <w:proofErr w:type="gramEnd"/>
      <w:r>
        <w:t xml:space="preserve"> </w:t>
      </w:r>
      <w:proofErr w:type="gramStart"/>
      <w:r>
        <w:t>устранении</w:t>
      </w:r>
      <w:proofErr w:type="gramEnd"/>
      <w:r>
        <w:t xml:space="preserve"> выявленных нарушений требований законодательства, несут ответственность в соответствии с законодательством Российской Федерации.</w:t>
      </w:r>
    </w:p>
    <w:p w:rsidR="00821F40" w:rsidRDefault="00821F40">
      <w:pPr>
        <w:pStyle w:val="ConsPlusNormal"/>
        <w:spacing w:before="220"/>
        <w:ind w:firstLine="540"/>
        <w:jc w:val="both"/>
      </w:pPr>
      <w:r>
        <w:t xml:space="preserve">10. По результатам проверки должностными лицами Инспекции, проводящими проверку, составляется акт проверки по </w:t>
      </w:r>
      <w:hyperlink r:id="rId12" w:history="1">
        <w:r>
          <w:rPr>
            <w:color w:val="0000FF"/>
          </w:rPr>
          <w:t>форме</w:t>
        </w:r>
      </w:hyperlink>
      <w:r>
        <w:t>, утвержденной Приказом Министерства экономического развития Российской Федерации от 30 апреля 2009 г. N 141 "О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821F40" w:rsidRDefault="00821F40">
      <w:pPr>
        <w:pStyle w:val="ConsPlusNormal"/>
        <w:spacing w:before="220"/>
        <w:ind w:firstLine="540"/>
        <w:jc w:val="both"/>
      </w:pPr>
      <w:r>
        <w:t>11. Акт проверки оформляется непосредственно после ее завершения в двух экземплярах, один из которых с копиями приложений вручается руководителю, иному должностному лицу или уполномоченному представителю регионального оператора под расписку об ознакомлении либо об отказе в ознакомлении с актом проверки. В случае отсутствия руководителя, иного должностного лица или уполномоченного представителя регионального оператора,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вручении, которое приобщается к экземпляру акта проверки, хранящемуся в Инспекции.</w:t>
      </w:r>
    </w:p>
    <w:p w:rsidR="00821F40" w:rsidRDefault="00821F40">
      <w:pPr>
        <w:pStyle w:val="ConsPlusNormal"/>
        <w:spacing w:before="220"/>
        <w:ind w:firstLine="540"/>
        <w:jc w:val="both"/>
      </w:pPr>
      <w:r>
        <w:t>12. В случае выявления при проведении проверки нарушений региональным оператором требований законодательства должностные лица Инспекции, проводившие проверку, в пределах полномочий, предусмотренных законодательством Российской Федерации, обязаны:</w:t>
      </w:r>
    </w:p>
    <w:p w:rsidR="00821F40" w:rsidRDefault="00821F40">
      <w:pPr>
        <w:pStyle w:val="ConsPlusNormal"/>
        <w:spacing w:before="220"/>
        <w:ind w:firstLine="540"/>
        <w:jc w:val="both"/>
      </w:pPr>
      <w:r>
        <w:t>выдать предписание о прекращении нарушений установленных требований, об устранении выявленных нарушений, о проведении мероприятий по обеспечению соблюдения установленных требований;</w:t>
      </w:r>
    </w:p>
    <w:p w:rsidR="00821F40" w:rsidRDefault="00821F40">
      <w:pPr>
        <w:pStyle w:val="ConsPlusNormal"/>
        <w:spacing w:before="220"/>
        <w:ind w:firstLine="540"/>
        <w:jc w:val="both"/>
      </w:pPr>
      <w:r>
        <w:t>принять меры по контролю за устранением выявленных нарушений, их предупреждению, а также меры по привлечению лиц, допустивших выявленные нарушения, к ответственности.</w:t>
      </w:r>
    </w:p>
    <w:p w:rsidR="00821F40" w:rsidRDefault="00821F40">
      <w:pPr>
        <w:pStyle w:val="ConsPlusNormal"/>
        <w:spacing w:before="220"/>
        <w:ind w:firstLine="540"/>
        <w:jc w:val="both"/>
      </w:pPr>
      <w:r>
        <w:t xml:space="preserve">13. Региональный оператор в случае несогласия с фактами, выводами, предложениями, изложенными в акте проверки, либо с выданным предписанием в течение пятнадцати дней </w:t>
      </w:r>
      <w:proofErr w:type="gramStart"/>
      <w:r>
        <w:t>с даты получения</w:t>
      </w:r>
      <w:proofErr w:type="gramEnd"/>
      <w:r>
        <w:t xml:space="preserve"> акта проверки вправе представить в Инспекцию в письменной форме возражения в отношении акта проверки и (или) выданного предписания в целом или его отдельных положений. При этом региональный оператор вправе приложить к таким возражениям документы, подтверждающие обоснованность таких возражений, или их заверенные копии либо в согласованный срок передать их в Инспекцию.</w:t>
      </w:r>
    </w:p>
    <w:p w:rsidR="00821F40" w:rsidRDefault="00821F40">
      <w:pPr>
        <w:pStyle w:val="ConsPlusNormal"/>
        <w:spacing w:before="220"/>
        <w:ind w:firstLine="540"/>
        <w:jc w:val="both"/>
      </w:pPr>
      <w:r>
        <w:t>14. В случае несогласия регионального оператора с актом проверки и (или) предписанием указанные документы могут быть обжалованы региональным оператором в установленном законодательством порядке.</w:t>
      </w:r>
    </w:p>
    <w:p w:rsidR="00821F40" w:rsidRDefault="00821F40">
      <w:pPr>
        <w:pStyle w:val="ConsPlusNormal"/>
        <w:spacing w:before="220"/>
        <w:ind w:firstLine="540"/>
        <w:jc w:val="both"/>
      </w:pPr>
      <w:r>
        <w:t>15. В случае выявления в ходе проверки обстоятельств, содержащих признаки уголовно наказуемого деяния, акт проверки направляется Инспекцией в правоохранительные органы согласно их компетенции в сроки, установленные законодательством.</w:t>
      </w:r>
    </w:p>
    <w:p w:rsidR="00821F40" w:rsidRDefault="00821F40">
      <w:pPr>
        <w:pStyle w:val="ConsPlusNormal"/>
        <w:jc w:val="both"/>
      </w:pPr>
    </w:p>
    <w:p w:rsidR="00821F40" w:rsidRDefault="00821F40">
      <w:pPr>
        <w:pStyle w:val="ConsPlusNormal"/>
        <w:jc w:val="both"/>
      </w:pPr>
    </w:p>
    <w:p w:rsidR="00821F40" w:rsidRDefault="00821F40">
      <w:pPr>
        <w:pStyle w:val="ConsPlusNormal"/>
        <w:jc w:val="right"/>
        <w:outlineLvl w:val="1"/>
      </w:pPr>
      <w:r>
        <w:t>Приложение</w:t>
      </w:r>
    </w:p>
    <w:p w:rsidR="00821F40" w:rsidRDefault="00821F40">
      <w:pPr>
        <w:pStyle w:val="ConsPlusNormal"/>
        <w:jc w:val="right"/>
      </w:pPr>
      <w:r>
        <w:t>к Порядку</w:t>
      </w:r>
    </w:p>
    <w:p w:rsidR="00821F40" w:rsidRDefault="00821F40">
      <w:pPr>
        <w:pStyle w:val="ConsPlusNormal"/>
        <w:jc w:val="right"/>
      </w:pPr>
      <w:r>
        <w:t>осуществления контроля</w:t>
      </w:r>
    </w:p>
    <w:p w:rsidR="00821F40" w:rsidRDefault="00821F40">
      <w:pPr>
        <w:pStyle w:val="ConsPlusNormal"/>
        <w:jc w:val="right"/>
      </w:pPr>
      <w:r>
        <w:t>за соответствием деятельности</w:t>
      </w:r>
    </w:p>
    <w:p w:rsidR="00821F40" w:rsidRDefault="00821F40">
      <w:pPr>
        <w:pStyle w:val="ConsPlusNormal"/>
        <w:jc w:val="right"/>
      </w:pPr>
      <w:r>
        <w:t>регионального оператора</w:t>
      </w:r>
    </w:p>
    <w:p w:rsidR="00821F40" w:rsidRDefault="00821F40">
      <w:pPr>
        <w:pStyle w:val="ConsPlusNormal"/>
        <w:jc w:val="right"/>
      </w:pPr>
      <w:r>
        <w:t>установленным требованиям</w:t>
      </w:r>
    </w:p>
    <w:p w:rsidR="00821F40" w:rsidRDefault="00821F40">
      <w:pPr>
        <w:pStyle w:val="ConsPlusNormal"/>
        <w:jc w:val="both"/>
      </w:pPr>
    </w:p>
    <w:p w:rsidR="00821F40" w:rsidRDefault="00821F40">
      <w:pPr>
        <w:pStyle w:val="ConsPlusNormal"/>
        <w:jc w:val="right"/>
      </w:pPr>
      <w:r>
        <w:t>Форма</w:t>
      </w:r>
    </w:p>
    <w:p w:rsidR="00821F40" w:rsidRDefault="00821F40">
      <w:pPr>
        <w:pStyle w:val="ConsPlusNormal"/>
        <w:jc w:val="both"/>
      </w:pPr>
    </w:p>
    <w:p w:rsidR="00821F40" w:rsidRDefault="00821F40">
      <w:pPr>
        <w:pStyle w:val="ConsPlusNormal"/>
        <w:jc w:val="center"/>
      </w:pPr>
      <w:bookmarkStart w:id="2" w:name="P66"/>
      <w:bookmarkEnd w:id="2"/>
      <w:r>
        <w:t>Информация</w:t>
      </w:r>
    </w:p>
    <w:p w:rsidR="00821F40" w:rsidRDefault="00821F40">
      <w:pPr>
        <w:pStyle w:val="ConsPlusNormal"/>
        <w:jc w:val="center"/>
      </w:pPr>
      <w:r>
        <w:t>о поступлении взносов на капитальный ремонт</w:t>
      </w:r>
    </w:p>
    <w:p w:rsidR="00821F40" w:rsidRDefault="00821F40">
      <w:pPr>
        <w:pStyle w:val="ConsPlusNormal"/>
        <w:jc w:val="center"/>
      </w:pPr>
      <w:r>
        <w:t>от собственников помещений на счет (счета) регионального</w:t>
      </w:r>
    </w:p>
    <w:p w:rsidR="00821F40" w:rsidRDefault="00821F40">
      <w:pPr>
        <w:pStyle w:val="ConsPlusNormal"/>
        <w:jc w:val="center"/>
      </w:pPr>
      <w:r>
        <w:t>оператора по состоянию на "__" ________ 201__ г.</w:t>
      </w:r>
    </w:p>
    <w:p w:rsidR="00821F40" w:rsidRDefault="00821F40">
      <w:pPr>
        <w:pStyle w:val="ConsPlusNormal"/>
        <w:jc w:val="both"/>
      </w:pPr>
    </w:p>
    <w:p w:rsidR="00821F40" w:rsidRDefault="00821F40">
      <w:pPr>
        <w:sectPr w:rsidR="00821F40" w:rsidSect="001B0D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37"/>
        <w:gridCol w:w="737"/>
        <w:gridCol w:w="907"/>
        <w:gridCol w:w="680"/>
        <w:gridCol w:w="737"/>
        <w:gridCol w:w="680"/>
        <w:gridCol w:w="737"/>
        <w:gridCol w:w="750"/>
        <w:gridCol w:w="833"/>
        <w:gridCol w:w="850"/>
        <w:gridCol w:w="850"/>
        <w:gridCol w:w="907"/>
        <w:gridCol w:w="850"/>
        <w:gridCol w:w="737"/>
        <w:gridCol w:w="964"/>
        <w:gridCol w:w="907"/>
        <w:gridCol w:w="964"/>
        <w:gridCol w:w="624"/>
        <w:gridCol w:w="794"/>
        <w:gridCol w:w="680"/>
        <w:gridCol w:w="624"/>
        <w:gridCol w:w="737"/>
        <w:gridCol w:w="567"/>
        <w:gridCol w:w="850"/>
        <w:gridCol w:w="624"/>
        <w:gridCol w:w="624"/>
        <w:gridCol w:w="643"/>
        <w:gridCol w:w="624"/>
        <w:gridCol w:w="737"/>
        <w:gridCol w:w="624"/>
        <w:gridCol w:w="567"/>
        <w:gridCol w:w="769"/>
      </w:tblGrid>
      <w:tr w:rsidR="00821F40">
        <w:tc>
          <w:tcPr>
            <w:tcW w:w="510" w:type="dxa"/>
            <w:vMerge w:val="restart"/>
          </w:tcPr>
          <w:p w:rsidR="00821F40" w:rsidRDefault="00821F40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37" w:type="dxa"/>
            <w:vMerge w:val="restart"/>
          </w:tcPr>
          <w:p w:rsidR="00821F40" w:rsidRDefault="00821F40">
            <w:pPr>
              <w:pStyle w:val="ConsPlusNormal"/>
              <w:jc w:val="center"/>
            </w:pPr>
            <w:r>
              <w:t>Муниципальный район</w:t>
            </w:r>
          </w:p>
        </w:tc>
        <w:tc>
          <w:tcPr>
            <w:tcW w:w="1644" w:type="dxa"/>
            <w:gridSpan w:val="2"/>
            <w:vMerge w:val="restart"/>
          </w:tcPr>
          <w:p w:rsidR="00821F40" w:rsidRDefault="00821F40">
            <w:pPr>
              <w:pStyle w:val="ConsPlusNormal"/>
              <w:jc w:val="center"/>
            </w:pPr>
            <w:r>
              <w:t xml:space="preserve">Сведения о МКД, </w:t>
            </w:r>
            <w:proofErr w:type="gramStart"/>
            <w:r>
              <w:t>включенных</w:t>
            </w:r>
            <w:proofErr w:type="gramEnd"/>
            <w:r>
              <w:t xml:space="preserve"> в региональную программу капитального ремонта общего имущества в МКД</w:t>
            </w:r>
          </w:p>
        </w:tc>
        <w:tc>
          <w:tcPr>
            <w:tcW w:w="5267" w:type="dxa"/>
            <w:gridSpan w:val="7"/>
          </w:tcPr>
          <w:p w:rsidR="00821F40" w:rsidRDefault="00821F40">
            <w:pPr>
              <w:pStyle w:val="ConsPlusNormal"/>
              <w:jc w:val="center"/>
            </w:pPr>
            <w:r>
              <w:t>Сведения о способе формирования фонда капитального ремонта</w:t>
            </w:r>
          </w:p>
        </w:tc>
        <w:tc>
          <w:tcPr>
            <w:tcW w:w="6179" w:type="dxa"/>
            <w:gridSpan w:val="7"/>
          </w:tcPr>
          <w:p w:rsidR="00821F40" w:rsidRDefault="00821F40">
            <w:pPr>
              <w:pStyle w:val="ConsPlusNormal"/>
              <w:jc w:val="center"/>
            </w:pPr>
            <w:r>
              <w:t>Сведения о способе формирования фонда капитального ремонта</w:t>
            </w:r>
          </w:p>
        </w:tc>
        <w:tc>
          <w:tcPr>
            <w:tcW w:w="3459" w:type="dxa"/>
            <w:gridSpan w:val="5"/>
          </w:tcPr>
          <w:p w:rsidR="00821F40" w:rsidRDefault="00821F40">
            <w:pPr>
              <w:pStyle w:val="ConsPlusNormal"/>
              <w:jc w:val="center"/>
            </w:pPr>
            <w:r>
              <w:t>Сведения о поступлении взносов на капитальный ремонт от собственников помещений в МКД</w:t>
            </w:r>
          </w:p>
        </w:tc>
        <w:tc>
          <w:tcPr>
            <w:tcW w:w="3308" w:type="dxa"/>
            <w:gridSpan w:val="5"/>
          </w:tcPr>
          <w:p w:rsidR="00821F40" w:rsidRDefault="00821F40">
            <w:pPr>
              <w:pStyle w:val="ConsPlusNormal"/>
              <w:jc w:val="center"/>
            </w:pPr>
            <w:r>
              <w:t>Сведения о размере задолженности по взносам на капитальный ремонт от собственников помещений в МКД</w:t>
            </w:r>
          </w:p>
        </w:tc>
        <w:tc>
          <w:tcPr>
            <w:tcW w:w="3321" w:type="dxa"/>
            <w:gridSpan w:val="5"/>
          </w:tcPr>
          <w:p w:rsidR="00821F40" w:rsidRDefault="00821F40">
            <w:pPr>
              <w:pStyle w:val="ConsPlusNormal"/>
              <w:jc w:val="center"/>
            </w:pPr>
            <w:r>
              <w:t>Сведения о размере остатка средств фонда капитального ремонта</w:t>
            </w:r>
          </w:p>
        </w:tc>
      </w:tr>
      <w:tr w:rsidR="00821F40">
        <w:tc>
          <w:tcPr>
            <w:tcW w:w="510" w:type="dxa"/>
            <w:vMerge/>
          </w:tcPr>
          <w:p w:rsidR="00821F40" w:rsidRDefault="00821F40"/>
        </w:tc>
        <w:tc>
          <w:tcPr>
            <w:tcW w:w="737" w:type="dxa"/>
            <w:vMerge/>
          </w:tcPr>
          <w:p w:rsidR="00821F40" w:rsidRDefault="00821F40"/>
        </w:tc>
        <w:tc>
          <w:tcPr>
            <w:tcW w:w="1644" w:type="dxa"/>
            <w:gridSpan w:val="2"/>
            <w:vMerge/>
          </w:tcPr>
          <w:p w:rsidR="00821F40" w:rsidRDefault="00821F40"/>
        </w:tc>
        <w:tc>
          <w:tcPr>
            <w:tcW w:w="2834" w:type="dxa"/>
            <w:gridSpan w:val="4"/>
          </w:tcPr>
          <w:p w:rsidR="00821F40" w:rsidRDefault="00821F40">
            <w:pPr>
              <w:pStyle w:val="ConsPlusNormal"/>
              <w:jc w:val="center"/>
            </w:pPr>
            <w:r>
              <w:t xml:space="preserve">Количество МКД, собственники </w:t>
            </w:r>
            <w:proofErr w:type="gramStart"/>
            <w:r>
              <w:t>помещений</w:t>
            </w:r>
            <w:proofErr w:type="gramEnd"/>
            <w:r>
              <w:t xml:space="preserve"> в которых выбрали и реализовали в качестве способа формирования фонда капитального ремонта перечисление взносов на капитальный ремонт на специальный счет, владельцем которого является:</w:t>
            </w:r>
          </w:p>
        </w:tc>
        <w:tc>
          <w:tcPr>
            <w:tcW w:w="750" w:type="dxa"/>
            <w:vMerge w:val="restart"/>
          </w:tcPr>
          <w:p w:rsidR="00821F40" w:rsidRDefault="00821F40">
            <w:pPr>
              <w:pStyle w:val="ConsPlusNormal"/>
              <w:jc w:val="center"/>
            </w:pPr>
            <w:r>
              <w:t xml:space="preserve">Количество МКД, собственники </w:t>
            </w:r>
            <w:proofErr w:type="gramStart"/>
            <w:r>
              <w:t>помещений</w:t>
            </w:r>
            <w:proofErr w:type="gramEnd"/>
            <w:r>
              <w:t xml:space="preserve"> в которых выбрали и реализовали в качестве способа формирования фонда капитального ремон</w:t>
            </w:r>
            <w:r>
              <w:lastRenderedPageBreak/>
              <w:t>та перечисление взносов на капитальный ремонт на счет (счета) РО</w:t>
            </w:r>
          </w:p>
        </w:tc>
        <w:tc>
          <w:tcPr>
            <w:tcW w:w="833" w:type="dxa"/>
            <w:vMerge w:val="restart"/>
          </w:tcPr>
          <w:p w:rsidR="00821F40" w:rsidRDefault="00821F40">
            <w:pPr>
              <w:pStyle w:val="ConsPlusNormal"/>
              <w:jc w:val="center"/>
            </w:pPr>
            <w:r>
              <w:lastRenderedPageBreak/>
              <w:t xml:space="preserve">Количество МКД, собственники </w:t>
            </w:r>
            <w:proofErr w:type="gramStart"/>
            <w:r>
              <w:t>помещений</w:t>
            </w:r>
            <w:proofErr w:type="gramEnd"/>
            <w:r>
              <w:t xml:space="preserve"> в которых не выбрали способ формирования фонда капитального ремонта или выбранный ими способ не был реализован</w:t>
            </w:r>
          </w:p>
        </w:tc>
        <w:tc>
          <w:tcPr>
            <w:tcW w:w="850" w:type="dxa"/>
            <w:vMerge w:val="restart"/>
          </w:tcPr>
          <w:p w:rsidR="00821F40" w:rsidRDefault="00821F40">
            <w:pPr>
              <w:pStyle w:val="ConsPlusNormal"/>
              <w:jc w:val="center"/>
            </w:pPr>
            <w:r>
              <w:t xml:space="preserve">Количество МКД, в отношении которых ОГЖН проинформировали ОМС и РО о том, что собственники помещений в таких домах не выбрали способ формирования фонда </w:t>
            </w:r>
            <w:r>
              <w:lastRenderedPageBreak/>
              <w:t>капитального ремонта или выбранный ими способ не был реализован</w:t>
            </w:r>
          </w:p>
        </w:tc>
        <w:tc>
          <w:tcPr>
            <w:tcW w:w="3344" w:type="dxa"/>
            <w:gridSpan w:val="4"/>
          </w:tcPr>
          <w:p w:rsidR="00821F40" w:rsidRDefault="00821F40">
            <w:pPr>
              <w:pStyle w:val="ConsPlusNormal"/>
              <w:jc w:val="center"/>
            </w:pPr>
            <w:r>
              <w:lastRenderedPageBreak/>
              <w:t>Площадь помещений МКД, собственники помещений в которых выбрали и реализовали в качестве способа формирования фонда капитального ремонта перечисление взносов на капитальный ремонт на специальный счет, владельцем которого является:</w:t>
            </w:r>
          </w:p>
        </w:tc>
        <w:tc>
          <w:tcPr>
            <w:tcW w:w="964" w:type="dxa"/>
            <w:vMerge w:val="restart"/>
          </w:tcPr>
          <w:p w:rsidR="00821F40" w:rsidRDefault="00821F40">
            <w:pPr>
              <w:pStyle w:val="ConsPlusNormal"/>
              <w:jc w:val="center"/>
            </w:pPr>
            <w:r>
              <w:t>Площадь помещений МКД, собственники помещений в которых выбрали в качестве способа формирования фонда капитального ремонта перечисление взносов на счет (счета) РО</w:t>
            </w:r>
          </w:p>
        </w:tc>
        <w:tc>
          <w:tcPr>
            <w:tcW w:w="907" w:type="dxa"/>
            <w:vMerge w:val="restart"/>
          </w:tcPr>
          <w:p w:rsidR="00821F40" w:rsidRDefault="00821F40">
            <w:pPr>
              <w:pStyle w:val="ConsPlusNormal"/>
              <w:jc w:val="center"/>
            </w:pPr>
            <w:r>
              <w:t>Площадь помещений МКД, собственники помещений в которых не выбрали способ формирования фонда капитального ремонта или выбранный ими способ не был реализован</w:t>
            </w:r>
          </w:p>
        </w:tc>
        <w:tc>
          <w:tcPr>
            <w:tcW w:w="964" w:type="dxa"/>
            <w:vMerge w:val="restart"/>
          </w:tcPr>
          <w:p w:rsidR="00821F40" w:rsidRDefault="00821F40">
            <w:pPr>
              <w:pStyle w:val="ConsPlusNormal"/>
              <w:jc w:val="center"/>
            </w:pPr>
            <w:r>
              <w:t xml:space="preserve">Площадь помещений МКД, в отношении которых ОГЖН проинформировали ОМС и РО о том, что собственники помещений в таких домах не выбрали способ формирования фонда капитального </w:t>
            </w:r>
            <w:r>
              <w:lastRenderedPageBreak/>
              <w:t>ремонта или выбранный ими способ не был реализован</w:t>
            </w:r>
          </w:p>
        </w:tc>
        <w:tc>
          <w:tcPr>
            <w:tcW w:w="2722" w:type="dxa"/>
            <w:gridSpan w:val="4"/>
          </w:tcPr>
          <w:p w:rsidR="00821F40" w:rsidRDefault="00821F40">
            <w:pPr>
              <w:pStyle w:val="ConsPlusNormal"/>
              <w:jc w:val="center"/>
            </w:pPr>
            <w:r>
              <w:lastRenderedPageBreak/>
              <w:t>Сведения о поступлении взносов на капитальный ремонт от собственников помещений в МКД на специальный счет, владельцем которого является:</w:t>
            </w:r>
          </w:p>
        </w:tc>
        <w:tc>
          <w:tcPr>
            <w:tcW w:w="737" w:type="dxa"/>
            <w:vMerge w:val="restart"/>
          </w:tcPr>
          <w:p w:rsidR="00821F40" w:rsidRDefault="00821F40">
            <w:pPr>
              <w:pStyle w:val="ConsPlusNormal"/>
              <w:jc w:val="center"/>
            </w:pPr>
            <w:r>
              <w:t>Сведения о поступлении взносов на капитальный ремонт от собственников помещений в МКД на счет РО</w:t>
            </w:r>
          </w:p>
        </w:tc>
        <w:tc>
          <w:tcPr>
            <w:tcW w:w="2665" w:type="dxa"/>
            <w:gridSpan w:val="4"/>
          </w:tcPr>
          <w:p w:rsidR="00821F40" w:rsidRDefault="00821F40">
            <w:pPr>
              <w:pStyle w:val="ConsPlusNormal"/>
              <w:jc w:val="center"/>
            </w:pPr>
            <w:r>
              <w:t>Сведения о размере задолженности по взносам на капитальный ремонт от собственников помещений в МКД на специальный счет, владельцем которого является:</w:t>
            </w:r>
          </w:p>
        </w:tc>
        <w:tc>
          <w:tcPr>
            <w:tcW w:w="643" w:type="dxa"/>
            <w:vMerge w:val="restart"/>
          </w:tcPr>
          <w:p w:rsidR="00821F40" w:rsidRDefault="00821F40">
            <w:pPr>
              <w:pStyle w:val="ConsPlusNormal"/>
              <w:jc w:val="center"/>
            </w:pPr>
            <w:r>
              <w:t xml:space="preserve">Сведения о размере задолженности по взносам на капитальный ремонт от собственников помещений в МКД на счете (счетах) </w:t>
            </w:r>
            <w:r>
              <w:lastRenderedPageBreak/>
              <w:t>РО</w:t>
            </w:r>
          </w:p>
        </w:tc>
        <w:tc>
          <w:tcPr>
            <w:tcW w:w="2552" w:type="dxa"/>
            <w:gridSpan w:val="4"/>
          </w:tcPr>
          <w:p w:rsidR="00821F40" w:rsidRDefault="00821F40">
            <w:pPr>
              <w:pStyle w:val="ConsPlusNormal"/>
              <w:jc w:val="center"/>
            </w:pPr>
            <w:r>
              <w:lastRenderedPageBreak/>
              <w:t>Сведения о размере остатка средств на специальном счете, владельцем которого является:</w:t>
            </w:r>
          </w:p>
        </w:tc>
        <w:tc>
          <w:tcPr>
            <w:tcW w:w="769" w:type="dxa"/>
            <w:vMerge w:val="restart"/>
          </w:tcPr>
          <w:p w:rsidR="00821F40" w:rsidRDefault="00821F40">
            <w:pPr>
              <w:pStyle w:val="ConsPlusNormal"/>
              <w:jc w:val="center"/>
            </w:pPr>
            <w:r>
              <w:t>Сведения о размере остатка средств на счете (счетах) РО</w:t>
            </w:r>
          </w:p>
        </w:tc>
      </w:tr>
      <w:tr w:rsidR="00821F40">
        <w:tc>
          <w:tcPr>
            <w:tcW w:w="510" w:type="dxa"/>
            <w:vMerge/>
          </w:tcPr>
          <w:p w:rsidR="00821F40" w:rsidRDefault="00821F40"/>
        </w:tc>
        <w:tc>
          <w:tcPr>
            <w:tcW w:w="737" w:type="dxa"/>
            <w:vMerge/>
          </w:tcPr>
          <w:p w:rsidR="00821F40" w:rsidRDefault="00821F40"/>
        </w:tc>
        <w:tc>
          <w:tcPr>
            <w:tcW w:w="737" w:type="dxa"/>
          </w:tcPr>
          <w:p w:rsidR="00821F40" w:rsidRDefault="00821F40">
            <w:pPr>
              <w:pStyle w:val="ConsPlusNormal"/>
              <w:jc w:val="center"/>
            </w:pPr>
            <w:r>
              <w:t>количество МКД</w:t>
            </w:r>
          </w:p>
        </w:tc>
        <w:tc>
          <w:tcPr>
            <w:tcW w:w="907" w:type="dxa"/>
          </w:tcPr>
          <w:p w:rsidR="00821F40" w:rsidRDefault="00821F40">
            <w:pPr>
              <w:pStyle w:val="ConsPlusNormal"/>
              <w:jc w:val="center"/>
            </w:pPr>
            <w:r>
              <w:t>общая площадь жилых и нежилых помещений в МКД</w:t>
            </w:r>
          </w:p>
        </w:tc>
        <w:tc>
          <w:tcPr>
            <w:tcW w:w="680" w:type="dxa"/>
          </w:tcPr>
          <w:p w:rsidR="00821F40" w:rsidRDefault="00821F40">
            <w:pPr>
              <w:pStyle w:val="ConsPlusNormal"/>
              <w:jc w:val="center"/>
            </w:pPr>
            <w:r>
              <w:t>РО</w:t>
            </w:r>
          </w:p>
        </w:tc>
        <w:tc>
          <w:tcPr>
            <w:tcW w:w="737" w:type="dxa"/>
          </w:tcPr>
          <w:p w:rsidR="00821F40" w:rsidRDefault="00821F40">
            <w:pPr>
              <w:pStyle w:val="ConsPlusNormal"/>
              <w:jc w:val="center"/>
            </w:pPr>
            <w:r>
              <w:t>ТСЖ</w:t>
            </w:r>
          </w:p>
        </w:tc>
        <w:tc>
          <w:tcPr>
            <w:tcW w:w="680" w:type="dxa"/>
          </w:tcPr>
          <w:p w:rsidR="00821F40" w:rsidRDefault="00821F40">
            <w:pPr>
              <w:pStyle w:val="ConsPlusNormal"/>
              <w:jc w:val="center"/>
            </w:pPr>
            <w:r>
              <w:t>ЖК или СПК</w:t>
            </w:r>
          </w:p>
        </w:tc>
        <w:tc>
          <w:tcPr>
            <w:tcW w:w="737" w:type="dxa"/>
          </w:tcPr>
          <w:p w:rsidR="00821F40" w:rsidRDefault="00821F40">
            <w:pPr>
              <w:pStyle w:val="ConsPlusNormal"/>
              <w:jc w:val="center"/>
            </w:pPr>
            <w:r>
              <w:t>УК</w:t>
            </w:r>
          </w:p>
        </w:tc>
        <w:tc>
          <w:tcPr>
            <w:tcW w:w="750" w:type="dxa"/>
            <w:vMerge/>
          </w:tcPr>
          <w:p w:rsidR="00821F40" w:rsidRDefault="00821F40"/>
        </w:tc>
        <w:tc>
          <w:tcPr>
            <w:tcW w:w="833" w:type="dxa"/>
            <w:vMerge/>
          </w:tcPr>
          <w:p w:rsidR="00821F40" w:rsidRDefault="00821F40"/>
        </w:tc>
        <w:tc>
          <w:tcPr>
            <w:tcW w:w="850" w:type="dxa"/>
            <w:vMerge/>
          </w:tcPr>
          <w:p w:rsidR="00821F40" w:rsidRDefault="00821F40"/>
        </w:tc>
        <w:tc>
          <w:tcPr>
            <w:tcW w:w="850" w:type="dxa"/>
          </w:tcPr>
          <w:p w:rsidR="00821F40" w:rsidRDefault="00821F40">
            <w:pPr>
              <w:pStyle w:val="ConsPlusNormal"/>
              <w:jc w:val="center"/>
            </w:pPr>
            <w:r>
              <w:t>РО</w:t>
            </w:r>
          </w:p>
        </w:tc>
        <w:tc>
          <w:tcPr>
            <w:tcW w:w="907" w:type="dxa"/>
          </w:tcPr>
          <w:p w:rsidR="00821F40" w:rsidRDefault="00821F40">
            <w:pPr>
              <w:pStyle w:val="ConsPlusNormal"/>
              <w:jc w:val="center"/>
            </w:pPr>
            <w:r>
              <w:t>ТСЖ</w:t>
            </w:r>
          </w:p>
        </w:tc>
        <w:tc>
          <w:tcPr>
            <w:tcW w:w="850" w:type="dxa"/>
          </w:tcPr>
          <w:p w:rsidR="00821F40" w:rsidRDefault="00821F40">
            <w:pPr>
              <w:pStyle w:val="ConsPlusNormal"/>
            </w:pPr>
            <w:r>
              <w:t>ЖК или СПК</w:t>
            </w:r>
          </w:p>
        </w:tc>
        <w:tc>
          <w:tcPr>
            <w:tcW w:w="737" w:type="dxa"/>
          </w:tcPr>
          <w:p w:rsidR="00821F40" w:rsidRDefault="00821F40">
            <w:pPr>
              <w:pStyle w:val="ConsPlusNormal"/>
              <w:jc w:val="center"/>
            </w:pPr>
            <w:r>
              <w:t>УК</w:t>
            </w:r>
          </w:p>
        </w:tc>
        <w:tc>
          <w:tcPr>
            <w:tcW w:w="964" w:type="dxa"/>
            <w:vMerge/>
          </w:tcPr>
          <w:p w:rsidR="00821F40" w:rsidRDefault="00821F40"/>
        </w:tc>
        <w:tc>
          <w:tcPr>
            <w:tcW w:w="907" w:type="dxa"/>
            <w:vMerge/>
          </w:tcPr>
          <w:p w:rsidR="00821F40" w:rsidRDefault="00821F40"/>
        </w:tc>
        <w:tc>
          <w:tcPr>
            <w:tcW w:w="964" w:type="dxa"/>
            <w:vMerge/>
          </w:tcPr>
          <w:p w:rsidR="00821F40" w:rsidRDefault="00821F40"/>
        </w:tc>
        <w:tc>
          <w:tcPr>
            <w:tcW w:w="624" w:type="dxa"/>
          </w:tcPr>
          <w:p w:rsidR="00821F40" w:rsidRDefault="00821F40">
            <w:pPr>
              <w:pStyle w:val="ConsPlusNormal"/>
              <w:jc w:val="center"/>
            </w:pPr>
            <w:r>
              <w:t>РО</w:t>
            </w:r>
          </w:p>
        </w:tc>
        <w:tc>
          <w:tcPr>
            <w:tcW w:w="794" w:type="dxa"/>
          </w:tcPr>
          <w:p w:rsidR="00821F40" w:rsidRDefault="00821F40">
            <w:pPr>
              <w:pStyle w:val="ConsPlusNormal"/>
              <w:jc w:val="center"/>
            </w:pPr>
            <w:r>
              <w:t>ТСЖ</w:t>
            </w:r>
          </w:p>
        </w:tc>
        <w:tc>
          <w:tcPr>
            <w:tcW w:w="680" w:type="dxa"/>
          </w:tcPr>
          <w:p w:rsidR="00821F40" w:rsidRDefault="00821F40">
            <w:pPr>
              <w:pStyle w:val="ConsPlusNormal"/>
              <w:jc w:val="center"/>
            </w:pPr>
            <w:r>
              <w:t>ЖК или СПК</w:t>
            </w:r>
          </w:p>
        </w:tc>
        <w:tc>
          <w:tcPr>
            <w:tcW w:w="624" w:type="dxa"/>
          </w:tcPr>
          <w:p w:rsidR="00821F40" w:rsidRDefault="00821F40">
            <w:pPr>
              <w:pStyle w:val="ConsPlusNormal"/>
              <w:jc w:val="center"/>
            </w:pPr>
            <w:r>
              <w:t>УК</w:t>
            </w:r>
          </w:p>
        </w:tc>
        <w:tc>
          <w:tcPr>
            <w:tcW w:w="737" w:type="dxa"/>
            <w:vMerge/>
          </w:tcPr>
          <w:p w:rsidR="00821F40" w:rsidRDefault="00821F40"/>
        </w:tc>
        <w:tc>
          <w:tcPr>
            <w:tcW w:w="567" w:type="dxa"/>
          </w:tcPr>
          <w:p w:rsidR="00821F40" w:rsidRDefault="00821F40">
            <w:pPr>
              <w:pStyle w:val="ConsPlusNormal"/>
              <w:jc w:val="center"/>
            </w:pPr>
            <w:r>
              <w:t>РО</w:t>
            </w:r>
          </w:p>
        </w:tc>
        <w:tc>
          <w:tcPr>
            <w:tcW w:w="850" w:type="dxa"/>
          </w:tcPr>
          <w:p w:rsidR="00821F40" w:rsidRDefault="00821F40">
            <w:pPr>
              <w:pStyle w:val="ConsPlusNormal"/>
              <w:jc w:val="center"/>
            </w:pPr>
            <w:r>
              <w:t>ТСЖ</w:t>
            </w:r>
          </w:p>
        </w:tc>
        <w:tc>
          <w:tcPr>
            <w:tcW w:w="624" w:type="dxa"/>
          </w:tcPr>
          <w:p w:rsidR="00821F40" w:rsidRDefault="00821F40">
            <w:pPr>
              <w:pStyle w:val="ConsPlusNormal"/>
            </w:pPr>
            <w:r>
              <w:t>ЖК или СПК</w:t>
            </w:r>
          </w:p>
        </w:tc>
        <w:tc>
          <w:tcPr>
            <w:tcW w:w="624" w:type="dxa"/>
          </w:tcPr>
          <w:p w:rsidR="00821F40" w:rsidRDefault="00821F40">
            <w:pPr>
              <w:pStyle w:val="ConsPlusNormal"/>
              <w:jc w:val="center"/>
            </w:pPr>
            <w:r>
              <w:t>УК</w:t>
            </w:r>
          </w:p>
        </w:tc>
        <w:tc>
          <w:tcPr>
            <w:tcW w:w="643" w:type="dxa"/>
            <w:vMerge/>
          </w:tcPr>
          <w:p w:rsidR="00821F40" w:rsidRDefault="00821F40"/>
        </w:tc>
        <w:tc>
          <w:tcPr>
            <w:tcW w:w="624" w:type="dxa"/>
          </w:tcPr>
          <w:p w:rsidR="00821F40" w:rsidRDefault="00821F40">
            <w:pPr>
              <w:pStyle w:val="ConsPlusNormal"/>
              <w:jc w:val="center"/>
            </w:pPr>
            <w:r>
              <w:t>РО</w:t>
            </w:r>
          </w:p>
        </w:tc>
        <w:tc>
          <w:tcPr>
            <w:tcW w:w="737" w:type="dxa"/>
          </w:tcPr>
          <w:p w:rsidR="00821F40" w:rsidRDefault="00821F40">
            <w:pPr>
              <w:pStyle w:val="ConsPlusNormal"/>
              <w:jc w:val="center"/>
            </w:pPr>
            <w:r>
              <w:t>ТСЖ</w:t>
            </w:r>
          </w:p>
        </w:tc>
        <w:tc>
          <w:tcPr>
            <w:tcW w:w="624" w:type="dxa"/>
          </w:tcPr>
          <w:p w:rsidR="00821F40" w:rsidRDefault="00821F40">
            <w:pPr>
              <w:pStyle w:val="ConsPlusNormal"/>
              <w:jc w:val="center"/>
            </w:pPr>
            <w:r>
              <w:t>ЖК или СПК</w:t>
            </w:r>
          </w:p>
        </w:tc>
        <w:tc>
          <w:tcPr>
            <w:tcW w:w="567" w:type="dxa"/>
          </w:tcPr>
          <w:p w:rsidR="00821F40" w:rsidRDefault="00821F40">
            <w:pPr>
              <w:pStyle w:val="ConsPlusNormal"/>
              <w:jc w:val="center"/>
            </w:pPr>
            <w:r>
              <w:t>УК</w:t>
            </w:r>
          </w:p>
        </w:tc>
        <w:tc>
          <w:tcPr>
            <w:tcW w:w="769" w:type="dxa"/>
            <w:vMerge/>
          </w:tcPr>
          <w:p w:rsidR="00821F40" w:rsidRDefault="00821F40"/>
        </w:tc>
      </w:tr>
      <w:tr w:rsidR="00821F40">
        <w:tc>
          <w:tcPr>
            <w:tcW w:w="510" w:type="dxa"/>
            <w:vMerge/>
          </w:tcPr>
          <w:p w:rsidR="00821F40" w:rsidRDefault="00821F40"/>
        </w:tc>
        <w:tc>
          <w:tcPr>
            <w:tcW w:w="737" w:type="dxa"/>
            <w:vMerge/>
          </w:tcPr>
          <w:p w:rsidR="00821F40" w:rsidRDefault="00821F40"/>
        </w:tc>
        <w:tc>
          <w:tcPr>
            <w:tcW w:w="737" w:type="dxa"/>
            <w:vAlign w:val="center"/>
          </w:tcPr>
          <w:p w:rsidR="00821F40" w:rsidRDefault="00821F40">
            <w:pPr>
              <w:pStyle w:val="ConsPlusNormal"/>
              <w:jc w:val="center"/>
            </w:pPr>
            <w:r>
              <w:t>(шт.)</w:t>
            </w:r>
          </w:p>
        </w:tc>
        <w:tc>
          <w:tcPr>
            <w:tcW w:w="907" w:type="dxa"/>
            <w:vAlign w:val="center"/>
          </w:tcPr>
          <w:p w:rsidR="00821F40" w:rsidRDefault="00821F40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680" w:type="dxa"/>
            <w:vAlign w:val="center"/>
          </w:tcPr>
          <w:p w:rsidR="00821F40" w:rsidRDefault="00821F40">
            <w:pPr>
              <w:pStyle w:val="ConsPlusNormal"/>
              <w:jc w:val="center"/>
            </w:pPr>
            <w:r>
              <w:t>(шт.)</w:t>
            </w:r>
          </w:p>
        </w:tc>
        <w:tc>
          <w:tcPr>
            <w:tcW w:w="737" w:type="dxa"/>
            <w:vAlign w:val="center"/>
          </w:tcPr>
          <w:p w:rsidR="00821F40" w:rsidRDefault="00821F40">
            <w:pPr>
              <w:pStyle w:val="ConsPlusNormal"/>
              <w:jc w:val="center"/>
            </w:pPr>
            <w:r>
              <w:t>(шт.)</w:t>
            </w:r>
          </w:p>
        </w:tc>
        <w:tc>
          <w:tcPr>
            <w:tcW w:w="680" w:type="dxa"/>
            <w:vAlign w:val="center"/>
          </w:tcPr>
          <w:p w:rsidR="00821F40" w:rsidRDefault="00821F40">
            <w:pPr>
              <w:pStyle w:val="ConsPlusNormal"/>
              <w:jc w:val="center"/>
            </w:pPr>
            <w:r>
              <w:t>(шт.)</w:t>
            </w:r>
          </w:p>
        </w:tc>
        <w:tc>
          <w:tcPr>
            <w:tcW w:w="737" w:type="dxa"/>
            <w:vAlign w:val="center"/>
          </w:tcPr>
          <w:p w:rsidR="00821F40" w:rsidRDefault="00821F40">
            <w:pPr>
              <w:pStyle w:val="ConsPlusNormal"/>
              <w:jc w:val="center"/>
            </w:pPr>
            <w:r>
              <w:t>(шт.)</w:t>
            </w:r>
          </w:p>
        </w:tc>
        <w:tc>
          <w:tcPr>
            <w:tcW w:w="750" w:type="dxa"/>
            <w:vAlign w:val="center"/>
          </w:tcPr>
          <w:p w:rsidR="00821F40" w:rsidRDefault="00821F40">
            <w:pPr>
              <w:pStyle w:val="ConsPlusNormal"/>
              <w:jc w:val="center"/>
            </w:pPr>
            <w:r>
              <w:t>(шт.)</w:t>
            </w:r>
          </w:p>
        </w:tc>
        <w:tc>
          <w:tcPr>
            <w:tcW w:w="833" w:type="dxa"/>
            <w:vAlign w:val="center"/>
          </w:tcPr>
          <w:p w:rsidR="00821F40" w:rsidRDefault="00821F40">
            <w:pPr>
              <w:pStyle w:val="ConsPlusNormal"/>
              <w:jc w:val="center"/>
            </w:pPr>
            <w:r>
              <w:t>(шт.)</w:t>
            </w:r>
          </w:p>
        </w:tc>
        <w:tc>
          <w:tcPr>
            <w:tcW w:w="850" w:type="dxa"/>
            <w:vAlign w:val="center"/>
          </w:tcPr>
          <w:p w:rsidR="00821F40" w:rsidRDefault="00821F40">
            <w:pPr>
              <w:pStyle w:val="ConsPlusNormal"/>
              <w:jc w:val="center"/>
            </w:pPr>
            <w:r>
              <w:t>(шт.)</w:t>
            </w:r>
          </w:p>
        </w:tc>
        <w:tc>
          <w:tcPr>
            <w:tcW w:w="850" w:type="dxa"/>
            <w:vAlign w:val="center"/>
          </w:tcPr>
          <w:p w:rsidR="00821F40" w:rsidRDefault="00821F40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907" w:type="dxa"/>
            <w:vAlign w:val="center"/>
          </w:tcPr>
          <w:p w:rsidR="00821F40" w:rsidRDefault="00821F40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850" w:type="dxa"/>
            <w:vAlign w:val="center"/>
          </w:tcPr>
          <w:p w:rsidR="00821F40" w:rsidRDefault="00821F40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737" w:type="dxa"/>
            <w:vAlign w:val="center"/>
          </w:tcPr>
          <w:p w:rsidR="00821F40" w:rsidRDefault="00821F40">
            <w:pPr>
              <w:pStyle w:val="ConsPlusNormal"/>
              <w:jc w:val="center"/>
            </w:pPr>
            <w:r>
              <w:t>(шт.)</w:t>
            </w:r>
          </w:p>
        </w:tc>
        <w:tc>
          <w:tcPr>
            <w:tcW w:w="964" w:type="dxa"/>
            <w:vAlign w:val="center"/>
          </w:tcPr>
          <w:p w:rsidR="00821F40" w:rsidRDefault="00821F40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907" w:type="dxa"/>
            <w:vAlign w:val="center"/>
          </w:tcPr>
          <w:p w:rsidR="00821F40" w:rsidRDefault="00821F40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964" w:type="dxa"/>
            <w:vAlign w:val="center"/>
          </w:tcPr>
          <w:p w:rsidR="00821F40" w:rsidRDefault="00821F40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0088" w:type="dxa"/>
            <w:gridSpan w:val="15"/>
            <w:vAlign w:val="center"/>
          </w:tcPr>
          <w:p w:rsidR="00821F40" w:rsidRDefault="00821F40">
            <w:pPr>
              <w:pStyle w:val="ConsPlusNormal"/>
              <w:jc w:val="center"/>
            </w:pPr>
            <w:r>
              <w:t>(тыс. руб.)</w:t>
            </w:r>
          </w:p>
        </w:tc>
      </w:tr>
      <w:tr w:rsidR="00821F40">
        <w:tc>
          <w:tcPr>
            <w:tcW w:w="510" w:type="dxa"/>
            <w:vAlign w:val="center"/>
          </w:tcPr>
          <w:p w:rsidR="00821F40" w:rsidRDefault="00821F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821F40" w:rsidRDefault="00821F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821F40" w:rsidRDefault="00821F40">
            <w:pPr>
              <w:pStyle w:val="ConsPlusNormal"/>
              <w:jc w:val="center"/>
            </w:pPr>
            <w:bookmarkStart w:id="3" w:name="P134"/>
            <w:bookmarkEnd w:id="3"/>
            <w:r>
              <w:t>3</w:t>
            </w:r>
          </w:p>
        </w:tc>
        <w:tc>
          <w:tcPr>
            <w:tcW w:w="907" w:type="dxa"/>
            <w:vAlign w:val="center"/>
          </w:tcPr>
          <w:p w:rsidR="00821F40" w:rsidRDefault="00821F40">
            <w:pPr>
              <w:pStyle w:val="ConsPlusNormal"/>
              <w:jc w:val="center"/>
            </w:pPr>
            <w:bookmarkStart w:id="4" w:name="P135"/>
            <w:bookmarkEnd w:id="4"/>
            <w:r>
              <w:t>4</w:t>
            </w:r>
          </w:p>
        </w:tc>
        <w:tc>
          <w:tcPr>
            <w:tcW w:w="680" w:type="dxa"/>
            <w:vAlign w:val="center"/>
          </w:tcPr>
          <w:p w:rsidR="00821F40" w:rsidRDefault="00821F40">
            <w:pPr>
              <w:pStyle w:val="ConsPlusNormal"/>
              <w:jc w:val="center"/>
            </w:pPr>
            <w:bookmarkStart w:id="5" w:name="P136"/>
            <w:bookmarkEnd w:id="5"/>
            <w:r>
              <w:t>5</w:t>
            </w:r>
          </w:p>
        </w:tc>
        <w:tc>
          <w:tcPr>
            <w:tcW w:w="737" w:type="dxa"/>
            <w:vAlign w:val="center"/>
          </w:tcPr>
          <w:p w:rsidR="00821F40" w:rsidRDefault="00821F4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vAlign w:val="center"/>
          </w:tcPr>
          <w:p w:rsidR="00821F40" w:rsidRDefault="00821F4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  <w:vAlign w:val="center"/>
          </w:tcPr>
          <w:p w:rsidR="00821F40" w:rsidRDefault="00821F4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50" w:type="dxa"/>
            <w:vAlign w:val="center"/>
          </w:tcPr>
          <w:p w:rsidR="00821F40" w:rsidRDefault="00821F40">
            <w:pPr>
              <w:pStyle w:val="ConsPlusNormal"/>
              <w:jc w:val="center"/>
            </w:pPr>
            <w:bookmarkStart w:id="6" w:name="P140"/>
            <w:bookmarkEnd w:id="6"/>
            <w:r>
              <w:t>9</w:t>
            </w:r>
          </w:p>
        </w:tc>
        <w:tc>
          <w:tcPr>
            <w:tcW w:w="833" w:type="dxa"/>
            <w:vAlign w:val="center"/>
          </w:tcPr>
          <w:p w:rsidR="00821F40" w:rsidRDefault="00821F4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821F40" w:rsidRDefault="00821F4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821F40" w:rsidRDefault="00821F40">
            <w:pPr>
              <w:pStyle w:val="ConsPlusNormal"/>
              <w:jc w:val="center"/>
            </w:pPr>
            <w:bookmarkStart w:id="7" w:name="P143"/>
            <w:bookmarkEnd w:id="7"/>
            <w:r>
              <w:t>12</w:t>
            </w:r>
          </w:p>
        </w:tc>
        <w:tc>
          <w:tcPr>
            <w:tcW w:w="907" w:type="dxa"/>
            <w:vAlign w:val="center"/>
          </w:tcPr>
          <w:p w:rsidR="00821F40" w:rsidRDefault="00821F4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821F40" w:rsidRDefault="00821F4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37" w:type="dxa"/>
            <w:vAlign w:val="center"/>
          </w:tcPr>
          <w:p w:rsidR="00821F40" w:rsidRDefault="00821F4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64" w:type="dxa"/>
            <w:vAlign w:val="center"/>
          </w:tcPr>
          <w:p w:rsidR="00821F40" w:rsidRDefault="00821F40">
            <w:pPr>
              <w:pStyle w:val="ConsPlusNormal"/>
              <w:jc w:val="center"/>
            </w:pPr>
            <w:bookmarkStart w:id="8" w:name="P147"/>
            <w:bookmarkEnd w:id="8"/>
            <w:r>
              <w:t>16</w:t>
            </w:r>
          </w:p>
        </w:tc>
        <w:tc>
          <w:tcPr>
            <w:tcW w:w="907" w:type="dxa"/>
            <w:vAlign w:val="center"/>
          </w:tcPr>
          <w:p w:rsidR="00821F40" w:rsidRDefault="00821F4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64" w:type="dxa"/>
            <w:vAlign w:val="center"/>
          </w:tcPr>
          <w:p w:rsidR="00821F40" w:rsidRDefault="00821F4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24" w:type="dxa"/>
            <w:vAlign w:val="center"/>
          </w:tcPr>
          <w:p w:rsidR="00821F40" w:rsidRDefault="00821F40">
            <w:pPr>
              <w:pStyle w:val="ConsPlusNormal"/>
              <w:jc w:val="center"/>
            </w:pPr>
            <w:bookmarkStart w:id="9" w:name="P150"/>
            <w:bookmarkEnd w:id="9"/>
            <w:r>
              <w:t>19</w:t>
            </w:r>
          </w:p>
        </w:tc>
        <w:tc>
          <w:tcPr>
            <w:tcW w:w="794" w:type="dxa"/>
            <w:vAlign w:val="center"/>
          </w:tcPr>
          <w:p w:rsidR="00821F40" w:rsidRDefault="00821F4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" w:type="dxa"/>
            <w:vAlign w:val="center"/>
          </w:tcPr>
          <w:p w:rsidR="00821F40" w:rsidRDefault="00821F4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24" w:type="dxa"/>
            <w:vAlign w:val="center"/>
          </w:tcPr>
          <w:p w:rsidR="00821F40" w:rsidRDefault="00821F4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37" w:type="dxa"/>
            <w:vAlign w:val="center"/>
          </w:tcPr>
          <w:p w:rsidR="00821F40" w:rsidRDefault="00821F40">
            <w:pPr>
              <w:pStyle w:val="ConsPlusNormal"/>
              <w:jc w:val="center"/>
            </w:pPr>
            <w:bookmarkStart w:id="10" w:name="P154"/>
            <w:bookmarkEnd w:id="10"/>
            <w:r>
              <w:t>23</w:t>
            </w:r>
          </w:p>
        </w:tc>
        <w:tc>
          <w:tcPr>
            <w:tcW w:w="567" w:type="dxa"/>
            <w:vAlign w:val="center"/>
          </w:tcPr>
          <w:p w:rsidR="00821F40" w:rsidRDefault="00821F40">
            <w:pPr>
              <w:pStyle w:val="ConsPlusNormal"/>
              <w:jc w:val="center"/>
            </w:pPr>
            <w:bookmarkStart w:id="11" w:name="P155"/>
            <w:bookmarkEnd w:id="11"/>
            <w:r>
              <w:t>24</w:t>
            </w:r>
          </w:p>
        </w:tc>
        <w:tc>
          <w:tcPr>
            <w:tcW w:w="850" w:type="dxa"/>
            <w:vAlign w:val="center"/>
          </w:tcPr>
          <w:p w:rsidR="00821F40" w:rsidRDefault="00821F4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24" w:type="dxa"/>
            <w:vAlign w:val="center"/>
          </w:tcPr>
          <w:p w:rsidR="00821F40" w:rsidRDefault="00821F4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24" w:type="dxa"/>
            <w:vAlign w:val="center"/>
          </w:tcPr>
          <w:p w:rsidR="00821F40" w:rsidRDefault="00821F4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643" w:type="dxa"/>
            <w:vAlign w:val="center"/>
          </w:tcPr>
          <w:p w:rsidR="00821F40" w:rsidRDefault="00821F40">
            <w:pPr>
              <w:pStyle w:val="ConsPlusNormal"/>
              <w:jc w:val="center"/>
            </w:pPr>
            <w:bookmarkStart w:id="12" w:name="P159"/>
            <w:bookmarkEnd w:id="12"/>
            <w:r>
              <w:t>28</w:t>
            </w:r>
          </w:p>
        </w:tc>
        <w:tc>
          <w:tcPr>
            <w:tcW w:w="624" w:type="dxa"/>
            <w:vAlign w:val="center"/>
          </w:tcPr>
          <w:p w:rsidR="00821F40" w:rsidRDefault="00821F40">
            <w:pPr>
              <w:pStyle w:val="ConsPlusNormal"/>
              <w:jc w:val="center"/>
            </w:pPr>
            <w:bookmarkStart w:id="13" w:name="P160"/>
            <w:bookmarkEnd w:id="13"/>
            <w:r>
              <w:t>29</w:t>
            </w:r>
          </w:p>
        </w:tc>
        <w:tc>
          <w:tcPr>
            <w:tcW w:w="737" w:type="dxa"/>
            <w:vAlign w:val="center"/>
          </w:tcPr>
          <w:p w:rsidR="00821F40" w:rsidRDefault="00821F4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24" w:type="dxa"/>
            <w:vAlign w:val="center"/>
          </w:tcPr>
          <w:p w:rsidR="00821F40" w:rsidRDefault="00821F4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567" w:type="dxa"/>
            <w:vAlign w:val="center"/>
          </w:tcPr>
          <w:p w:rsidR="00821F40" w:rsidRDefault="00821F4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769" w:type="dxa"/>
            <w:vAlign w:val="center"/>
          </w:tcPr>
          <w:p w:rsidR="00821F40" w:rsidRDefault="00821F40">
            <w:pPr>
              <w:pStyle w:val="ConsPlusNormal"/>
              <w:jc w:val="center"/>
            </w:pPr>
            <w:bookmarkStart w:id="14" w:name="P164"/>
            <w:bookmarkEnd w:id="14"/>
            <w:r>
              <w:t>33</w:t>
            </w:r>
          </w:p>
        </w:tc>
      </w:tr>
      <w:tr w:rsidR="00821F40">
        <w:tc>
          <w:tcPr>
            <w:tcW w:w="510" w:type="dxa"/>
            <w:vAlign w:val="center"/>
          </w:tcPr>
          <w:p w:rsidR="00821F40" w:rsidRDefault="00821F4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821F40" w:rsidRDefault="00821F40">
            <w:pPr>
              <w:pStyle w:val="ConsPlusNormal"/>
            </w:pPr>
            <w:r>
              <w:t>Республика Татарстан</w:t>
            </w:r>
          </w:p>
        </w:tc>
        <w:tc>
          <w:tcPr>
            <w:tcW w:w="737" w:type="dxa"/>
            <w:vAlign w:val="center"/>
          </w:tcPr>
          <w:p w:rsidR="00821F40" w:rsidRDefault="00821F40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821F40" w:rsidRDefault="00821F40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821F40" w:rsidRDefault="00821F4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821F40" w:rsidRDefault="00821F40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821F40" w:rsidRDefault="00821F4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821F40" w:rsidRDefault="00821F40">
            <w:pPr>
              <w:pStyle w:val="ConsPlusNormal"/>
            </w:pPr>
          </w:p>
        </w:tc>
        <w:tc>
          <w:tcPr>
            <w:tcW w:w="750" w:type="dxa"/>
            <w:vAlign w:val="center"/>
          </w:tcPr>
          <w:p w:rsidR="00821F40" w:rsidRDefault="00821F40">
            <w:pPr>
              <w:pStyle w:val="ConsPlusNormal"/>
            </w:pPr>
          </w:p>
        </w:tc>
        <w:tc>
          <w:tcPr>
            <w:tcW w:w="833" w:type="dxa"/>
            <w:vAlign w:val="center"/>
          </w:tcPr>
          <w:p w:rsidR="00821F40" w:rsidRDefault="00821F4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821F40" w:rsidRDefault="00821F4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821F40" w:rsidRDefault="00821F40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821F40" w:rsidRDefault="00821F4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821F40" w:rsidRDefault="00821F4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821F40" w:rsidRDefault="00821F40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821F40" w:rsidRDefault="00821F40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821F40" w:rsidRDefault="00821F40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821F40" w:rsidRDefault="00821F40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21F40" w:rsidRDefault="00821F4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821F40" w:rsidRDefault="00821F40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821F40" w:rsidRDefault="00821F40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21F40" w:rsidRDefault="00821F4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821F40" w:rsidRDefault="00821F4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821F40" w:rsidRDefault="00821F4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821F40" w:rsidRDefault="00821F40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21F40" w:rsidRDefault="00821F40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21F40" w:rsidRDefault="00821F40">
            <w:pPr>
              <w:pStyle w:val="ConsPlusNormal"/>
            </w:pPr>
          </w:p>
        </w:tc>
        <w:tc>
          <w:tcPr>
            <w:tcW w:w="643" w:type="dxa"/>
            <w:vAlign w:val="center"/>
          </w:tcPr>
          <w:p w:rsidR="00821F40" w:rsidRDefault="00821F40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21F40" w:rsidRDefault="00821F4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821F40" w:rsidRDefault="00821F40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821F40" w:rsidRDefault="00821F4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821F40" w:rsidRDefault="00821F40">
            <w:pPr>
              <w:pStyle w:val="ConsPlusNormal"/>
            </w:pPr>
          </w:p>
        </w:tc>
        <w:tc>
          <w:tcPr>
            <w:tcW w:w="769" w:type="dxa"/>
            <w:vAlign w:val="center"/>
          </w:tcPr>
          <w:p w:rsidR="00821F40" w:rsidRDefault="00821F40">
            <w:pPr>
              <w:pStyle w:val="ConsPlusNormal"/>
            </w:pPr>
          </w:p>
        </w:tc>
      </w:tr>
    </w:tbl>
    <w:p w:rsidR="00821F40" w:rsidRDefault="00821F40">
      <w:pPr>
        <w:pStyle w:val="ConsPlusNormal"/>
        <w:jc w:val="both"/>
      </w:pPr>
    </w:p>
    <w:p w:rsidR="00821F40" w:rsidRDefault="00821F40">
      <w:pPr>
        <w:pStyle w:val="ConsPlusNormal"/>
        <w:ind w:firstLine="540"/>
        <w:jc w:val="both"/>
      </w:pPr>
      <w:r>
        <w:t xml:space="preserve">Примечание: региональным оператором заполняются графы: </w:t>
      </w:r>
      <w:hyperlink w:anchor="P134" w:history="1">
        <w:r>
          <w:rPr>
            <w:color w:val="0000FF"/>
          </w:rPr>
          <w:t>3</w:t>
        </w:r>
      </w:hyperlink>
      <w:r>
        <w:t xml:space="preserve">, </w:t>
      </w:r>
      <w:hyperlink w:anchor="P135" w:history="1">
        <w:r>
          <w:rPr>
            <w:color w:val="0000FF"/>
          </w:rPr>
          <w:t>4</w:t>
        </w:r>
      </w:hyperlink>
      <w:r>
        <w:t xml:space="preserve">, </w:t>
      </w:r>
      <w:hyperlink w:anchor="P136" w:history="1">
        <w:r>
          <w:rPr>
            <w:color w:val="0000FF"/>
          </w:rPr>
          <w:t>5</w:t>
        </w:r>
      </w:hyperlink>
      <w:r>
        <w:t xml:space="preserve">, </w:t>
      </w:r>
      <w:hyperlink w:anchor="P140" w:history="1">
        <w:r>
          <w:rPr>
            <w:color w:val="0000FF"/>
          </w:rPr>
          <w:t>9</w:t>
        </w:r>
      </w:hyperlink>
      <w:r>
        <w:t xml:space="preserve">, </w:t>
      </w:r>
      <w:hyperlink w:anchor="P143" w:history="1">
        <w:r>
          <w:rPr>
            <w:color w:val="0000FF"/>
          </w:rPr>
          <w:t>12</w:t>
        </w:r>
      </w:hyperlink>
      <w:r>
        <w:t xml:space="preserve">, </w:t>
      </w:r>
      <w:hyperlink w:anchor="P147" w:history="1">
        <w:r>
          <w:rPr>
            <w:color w:val="0000FF"/>
          </w:rPr>
          <w:t>16</w:t>
        </w:r>
      </w:hyperlink>
      <w:r>
        <w:t xml:space="preserve">, </w:t>
      </w:r>
      <w:hyperlink w:anchor="P150" w:history="1">
        <w:r>
          <w:rPr>
            <w:color w:val="0000FF"/>
          </w:rPr>
          <w:t>19</w:t>
        </w:r>
      </w:hyperlink>
      <w:r>
        <w:t xml:space="preserve">, </w:t>
      </w:r>
      <w:hyperlink w:anchor="P154" w:history="1">
        <w:r>
          <w:rPr>
            <w:color w:val="0000FF"/>
          </w:rPr>
          <w:t>23</w:t>
        </w:r>
      </w:hyperlink>
      <w:r>
        <w:t xml:space="preserve">, </w:t>
      </w:r>
      <w:hyperlink w:anchor="P155" w:history="1">
        <w:r>
          <w:rPr>
            <w:color w:val="0000FF"/>
          </w:rPr>
          <w:t>24</w:t>
        </w:r>
      </w:hyperlink>
      <w:r>
        <w:t xml:space="preserve">, </w:t>
      </w:r>
      <w:hyperlink w:anchor="P159" w:history="1">
        <w:r>
          <w:rPr>
            <w:color w:val="0000FF"/>
          </w:rPr>
          <w:t>28</w:t>
        </w:r>
      </w:hyperlink>
      <w:r>
        <w:t xml:space="preserve">, </w:t>
      </w:r>
      <w:hyperlink w:anchor="P160" w:history="1">
        <w:r>
          <w:rPr>
            <w:color w:val="0000FF"/>
          </w:rPr>
          <w:t>29</w:t>
        </w:r>
      </w:hyperlink>
      <w:r>
        <w:t xml:space="preserve">, </w:t>
      </w:r>
      <w:hyperlink w:anchor="P164" w:history="1">
        <w:r>
          <w:rPr>
            <w:color w:val="0000FF"/>
          </w:rPr>
          <w:t>33</w:t>
        </w:r>
      </w:hyperlink>
      <w:r>
        <w:t>.</w:t>
      </w:r>
    </w:p>
    <w:p w:rsidR="00821F40" w:rsidRDefault="00821F40">
      <w:pPr>
        <w:pStyle w:val="ConsPlusNormal"/>
        <w:spacing w:before="220"/>
        <w:ind w:firstLine="540"/>
        <w:jc w:val="both"/>
      </w:pPr>
      <w:r>
        <w:t xml:space="preserve">Остальные графы заполняются Государственной жилищной инспекцией Республики Татарстан для представления информации в Министерство строительства и жилищно-коммунального хозяйства Российской Федерации с соответствии с </w:t>
      </w:r>
      <w:hyperlink r:id="rId13" w:history="1">
        <w:r>
          <w:rPr>
            <w:color w:val="0000FF"/>
          </w:rPr>
          <w:t>Приказом</w:t>
        </w:r>
      </w:hyperlink>
      <w:r>
        <w:t xml:space="preserve"> Министерства строительства и жилищно-коммунального хозяйства Российской Федерации (Минстрой России) от 22 сентября 2014 г. N 576/</w:t>
      </w:r>
      <w:proofErr w:type="spellStart"/>
      <w:proofErr w:type="gramStart"/>
      <w:r>
        <w:t>пр</w:t>
      </w:r>
      <w:proofErr w:type="spellEnd"/>
      <w:proofErr w:type="gramEnd"/>
      <w:r>
        <w:t xml:space="preserve"> "О порядке представления органами государственного жилищного надзора сведений, указанных в частях 1 - 4 статьи 172 Жилищного кодекса Российской Федерации".</w:t>
      </w:r>
    </w:p>
    <w:p w:rsidR="00821F40" w:rsidRDefault="00821F40">
      <w:pPr>
        <w:pStyle w:val="ConsPlusNormal"/>
        <w:jc w:val="both"/>
      </w:pPr>
    </w:p>
    <w:p w:rsidR="00821F40" w:rsidRDefault="00821F40">
      <w:pPr>
        <w:pStyle w:val="ConsPlusNormal"/>
      </w:pPr>
      <w:r>
        <w:t>Руководитель регионального оператора</w:t>
      </w:r>
    </w:p>
    <w:p w:rsidR="00821F40" w:rsidRDefault="00821F40">
      <w:pPr>
        <w:pStyle w:val="ConsPlusNormal"/>
        <w:jc w:val="both"/>
      </w:pPr>
    </w:p>
    <w:p w:rsidR="00821F40" w:rsidRDefault="00821F40">
      <w:pPr>
        <w:pStyle w:val="ConsPlusNormal"/>
      </w:pPr>
      <w:r>
        <w:t>(подпись) ____________________________ (ФИО) __________________</w:t>
      </w:r>
    </w:p>
    <w:p w:rsidR="00821F40" w:rsidRDefault="00821F40">
      <w:pPr>
        <w:pStyle w:val="ConsPlusNormal"/>
        <w:spacing w:before="220"/>
      </w:pPr>
      <w:r>
        <w:lastRenderedPageBreak/>
        <w:t>(печать)</w:t>
      </w:r>
    </w:p>
    <w:p w:rsidR="00821F40" w:rsidRDefault="00821F40">
      <w:pPr>
        <w:pStyle w:val="ConsPlusNormal"/>
        <w:jc w:val="both"/>
      </w:pPr>
    </w:p>
    <w:p w:rsidR="00821F40" w:rsidRDefault="00821F40">
      <w:pPr>
        <w:pStyle w:val="ConsPlusNormal"/>
        <w:ind w:firstLine="540"/>
        <w:jc w:val="both"/>
      </w:pPr>
      <w:r>
        <w:t>Список используемых сокращений:</w:t>
      </w:r>
    </w:p>
    <w:p w:rsidR="00821F40" w:rsidRDefault="00821F40">
      <w:pPr>
        <w:pStyle w:val="ConsPlusNormal"/>
        <w:jc w:val="both"/>
      </w:pPr>
    </w:p>
    <w:p w:rsidR="00821F40" w:rsidRDefault="00821F40">
      <w:pPr>
        <w:pStyle w:val="ConsPlusNormal"/>
        <w:ind w:firstLine="540"/>
        <w:jc w:val="both"/>
      </w:pPr>
      <w:r>
        <w:t>МКД - многоквартирный дом;</w:t>
      </w:r>
    </w:p>
    <w:p w:rsidR="00821F40" w:rsidRDefault="00821F40">
      <w:pPr>
        <w:pStyle w:val="ConsPlusNormal"/>
        <w:spacing w:before="220"/>
        <w:ind w:firstLine="540"/>
        <w:jc w:val="both"/>
      </w:pPr>
      <w:r>
        <w:t>РО - региональный оператор;</w:t>
      </w:r>
    </w:p>
    <w:p w:rsidR="00821F40" w:rsidRDefault="00821F40">
      <w:pPr>
        <w:pStyle w:val="ConsPlusNormal"/>
        <w:spacing w:before="220"/>
        <w:ind w:firstLine="540"/>
        <w:jc w:val="both"/>
      </w:pPr>
      <w:r>
        <w:t>ТСЖ - товарищество собственников жилья;</w:t>
      </w:r>
    </w:p>
    <w:p w:rsidR="00821F40" w:rsidRDefault="00821F40">
      <w:pPr>
        <w:pStyle w:val="ConsPlusNormal"/>
        <w:spacing w:before="220"/>
        <w:ind w:firstLine="540"/>
        <w:jc w:val="both"/>
      </w:pPr>
      <w:r>
        <w:t>ЖК - жилищный кооператив;</w:t>
      </w:r>
    </w:p>
    <w:p w:rsidR="00821F40" w:rsidRDefault="00821F40">
      <w:pPr>
        <w:pStyle w:val="ConsPlusNormal"/>
        <w:spacing w:before="220"/>
        <w:ind w:firstLine="540"/>
        <w:jc w:val="both"/>
      </w:pPr>
      <w:r>
        <w:t>СПК - специализированный потребительский кооператив;</w:t>
      </w:r>
    </w:p>
    <w:p w:rsidR="00821F40" w:rsidRDefault="00821F40">
      <w:pPr>
        <w:pStyle w:val="ConsPlusNormal"/>
        <w:spacing w:before="220"/>
        <w:ind w:firstLine="540"/>
        <w:jc w:val="both"/>
      </w:pPr>
      <w:r>
        <w:t>УК - управляющая компания;</w:t>
      </w:r>
    </w:p>
    <w:p w:rsidR="00821F40" w:rsidRDefault="00821F40">
      <w:pPr>
        <w:pStyle w:val="ConsPlusNormal"/>
        <w:spacing w:before="220"/>
        <w:ind w:firstLine="540"/>
        <w:jc w:val="both"/>
      </w:pPr>
      <w:r>
        <w:t>ОГЖН - орган государственного жилищного надзора;</w:t>
      </w:r>
    </w:p>
    <w:p w:rsidR="00821F40" w:rsidRDefault="00821F40">
      <w:pPr>
        <w:pStyle w:val="ConsPlusNormal"/>
        <w:spacing w:before="220"/>
        <w:ind w:firstLine="540"/>
        <w:jc w:val="both"/>
      </w:pPr>
      <w:r>
        <w:t>ОМС - орган местного самоуправления.</w:t>
      </w:r>
    </w:p>
    <w:p w:rsidR="00821F40" w:rsidRDefault="00821F40">
      <w:pPr>
        <w:pStyle w:val="ConsPlusNormal"/>
        <w:jc w:val="both"/>
      </w:pPr>
    </w:p>
    <w:p w:rsidR="00821F40" w:rsidRDefault="00821F40">
      <w:pPr>
        <w:pStyle w:val="ConsPlusNormal"/>
        <w:jc w:val="both"/>
      </w:pPr>
    </w:p>
    <w:p w:rsidR="00821F40" w:rsidRDefault="00821F4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50C9" w:rsidRDefault="006C50C9"/>
    <w:sectPr w:rsidR="006C50C9" w:rsidSect="003251C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F40"/>
    <w:rsid w:val="006C50C9"/>
    <w:rsid w:val="0082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1F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1F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1F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1F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1F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1F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5D6B34F838C1B16B80E5CD7D434293F2D41E7B9AE9FD64B7FB1AE84AE68A30F54DC4ED33F4D875E4499729BC689C51C5F7797BA7B7m7G" TargetMode="External"/><Relationship Id="rId13" Type="http://schemas.openxmlformats.org/officeDocument/2006/relationships/hyperlink" Target="consultantplus://offline/ref=F75D6B34F838C1B16B80E5CD7D434293F2D6157E9FE0FD64B7FB1AE84AE68A30E74D9CE33BF7CD21B313C024BDB6m2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75D6B34F838C1B16B80FBC06B2F1F98F2DD427093E9FE3AEAA441B51DEF8067B2029DAD7FF9D221B50DC523B73FD31596E47B78B87ED1725A5AC6BEm6G" TargetMode="External"/><Relationship Id="rId12" Type="http://schemas.openxmlformats.org/officeDocument/2006/relationships/hyperlink" Target="consultantplus://offline/ref=F75D6B34F838C1B16B80E5CD7D434293F3D61A7E98EAFD64B7FB1AE84AE68A30F54DC4EF3BF6D875E4499729BC689C51C5F7797BA7B7m7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75D6B34F838C1B16B80E5CD7D434293F2D41E7893ECFD64B7FB1AE84AE68A30F54DC4EF3BF4D324B6069675F83E8F51C0F77B7DB87CD76DB5m1G" TargetMode="External"/><Relationship Id="rId11" Type="http://schemas.openxmlformats.org/officeDocument/2006/relationships/hyperlink" Target="consultantplus://offline/ref=F75D6B34F838C1B16B80E5CD7D434293F2D41E7893ECFD64B7FB1AE84AE68A30E74D9CE33BF7CD21B313C024BDB6m2G" TargetMode="External"/><Relationship Id="rId5" Type="http://schemas.openxmlformats.org/officeDocument/2006/relationships/hyperlink" Target="consultantplus://offline/ref=F75D6B34F838C1B16B80E5CD7D434293F2D41E7B9AE9FD64B7FB1AE84AE68A30F54DC4ED33F4D875E4499729BC689C51C5F7797BA7B7m7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75D6B34F838C1B16B80FBC06B2F1F98F2DD427093E9FE3AEAA441B51DEF8067B2029DAD7FF9D221B50DC523B73FD31596E47B78B87ED1725A5AC6BEm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5D6B34F838C1B16B80E5CD7D434293F2D41E7893ECFD64B7FB1AE84AE68A30F54DC4EF3BF4D324B6069675F83E8F51C0F77B7DB87CD76DB5m1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2191</Words>
  <Characters>12493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Эльвина Хабипова</dc:creator>
  <cp:lastModifiedBy>Эльвина Хабипова</cp:lastModifiedBy>
  <cp:revision>1</cp:revision>
  <dcterms:created xsi:type="dcterms:W3CDTF">2019-06-03T06:38:00Z</dcterms:created>
  <dcterms:modified xsi:type="dcterms:W3CDTF">2019-06-03T06:38:00Z</dcterms:modified>
</cp:coreProperties>
</file>